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A8" w:rsidRPr="004F76BD" w:rsidRDefault="00DF55ED" w:rsidP="00114A20">
      <w:pPr>
        <w:pStyle w:val="Heading1"/>
        <w:ind w:left="0" w:firstLine="0"/>
        <w:rPr>
          <w:b w:val="0"/>
        </w:rPr>
      </w:pPr>
      <w:r>
        <w:rPr>
          <w:bCs w:val="0"/>
          <w:sz w:val="20"/>
          <w:szCs w:val="20"/>
        </w:rPr>
        <w:t xml:space="preserve">         </w:t>
      </w:r>
      <w:r w:rsidR="0020048E">
        <w:t xml:space="preserve"> </w:t>
      </w:r>
    </w:p>
    <w:p w:rsidR="000C2FC1" w:rsidRDefault="000C2FC1" w:rsidP="000C2FC1">
      <w:pPr>
        <w:pStyle w:val="Footer"/>
        <w:ind w:right="357"/>
        <w:jc w:val="left"/>
        <w:rPr>
          <w:b/>
        </w:rPr>
      </w:pPr>
      <w:r>
        <w:rPr>
          <w:b/>
        </w:rPr>
        <w:tab/>
      </w:r>
    </w:p>
    <w:p w:rsidR="003D363C" w:rsidRPr="004F76BD" w:rsidRDefault="003D363C" w:rsidP="000C2FC1">
      <w:pPr>
        <w:pStyle w:val="Footer"/>
        <w:ind w:right="357"/>
        <w:jc w:val="left"/>
        <w:rPr>
          <w:b/>
        </w:rPr>
      </w:pPr>
    </w:p>
    <w:tbl>
      <w:tblPr>
        <w:tblW w:w="9923" w:type="dxa"/>
        <w:tblInd w:w="-34" w:type="dxa"/>
        <w:tblLook w:val="01E0"/>
      </w:tblPr>
      <w:tblGrid>
        <w:gridCol w:w="9923"/>
      </w:tblGrid>
      <w:tr w:rsidR="00114A20" w:rsidTr="00114A20">
        <w:tc>
          <w:tcPr>
            <w:tcW w:w="9923" w:type="dxa"/>
          </w:tcPr>
          <w:p w:rsidR="00114A20" w:rsidRDefault="00114A20">
            <w:pPr>
              <w:spacing w:line="276" w:lineRule="auto"/>
              <w:rPr>
                <w:b/>
                <w:color w:val="000000"/>
                <w:sz w:val="26"/>
                <w:szCs w:val="26"/>
                <w:u w:val="single"/>
              </w:rPr>
            </w:pPr>
            <w:r>
              <w:rPr>
                <w:b/>
                <w:sz w:val="26"/>
                <w:szCs w:val="26"/>
              </w:rPr>
              <w:tab/>
              <w:t xml:space="preserve">                                                                 </w:t>
            </w:r>
            <w:r>
              <w:rPr>
                <w:b/>
                <w:color w:val="000000"/>
                <w:sz w:val="26"/>
                <w:szCs w:val="26"/>
                <w:u w:val="single"/>
              </w:rPr>
              <w:t>A N U N Ţ</w:t>
            </w:r>
          </w:p>
          <w:p w:rsidR="00114A20" w:rsidRDefault="00114A20">
            <w:pPr>
              <w:spacing w:line="276" w:lineRule="auto"/>
              <w:rPr>
                <w:b/>
                <w:color w:val="000000"/>
                <w:sz w:val="26"/>
                <w:szCs w:val="26"/>
              </w:rPr>
            </w:pPr>
          </w:p>
          <w:p w:rsidR="00114A20" w:rsidRDefault="00114A20">
            <w:pPr>
              <w:spacing w:line="276" w:lineRule="auto"/>
              <w:rPr>
                <w:b/>
                <w:color w:val="000000"/>
                <w:sz w:val="26"/>
                <w:szCs w:val="26"/>
              </w:rPr>
            </w:pPr>
          </w:p>
          <w:p w:rsidR="00114A20" w:rsidRDefault="00114A20">
            <w:pPr>
              <w:spacing w:line="276" w:lineRule="auto"/>
              <w:ind w:firstLine="720"/>
              <w:jc w:val="both"/>
              <w:rPr>
                <w:color w:val="000000"/>
                <w:sz w:val="26"/>
                <w:szCs w:val="26"/>
              </w:rPr>
            </w:pPr>
            <w:r>
              <w:rPr>
                <w:color w:val="000000"/>
                <w:sz w:val="26"/>
                <w:szCs w:val="26"/>
                <w:lang w:eastAsia="en-GB"/>
              </w:rPr>
              <w:t xml:space="preserve">În conformitate cu prevederile art. 16 alin. 2  din Anexa 3 la </w:t>
            </w:r>
            <w:r>
              <w:rPr>
                <w:i/>
                <w:color w:val="000000"/>
                <w:sz w:val="26"/>
                <w:szCs w:val="26"/>
                <w:lang w:eastAsia="en-GB"/>
              </w:rPr>
              <w:t>O.M.A.I. nr. 140/2016 privind activitatea de management resurse umane în unităţile de poliţie ale M.A.I., cu modificările şi completările ulterioare</w:t>
            </w:r>
            <w:r>
              <w:rPr>
                <w:color w:val="000000"/>
                <w:sz w:val="26"/>
                <w:szCs w:val="26"/>
                <w:lang w:eastAsia="en-GB"/>
              </w:rPr>
              <w:t>, cu data prezentului anunţ se publică mai jos tabelul nominal</w:t>
            </w:r>
            <w:r>
              <w:rPr>
                <w:b/>
                <w:color w:val="000000"/>
                <w:sz w:val="26"/>
                <w:szCs w:val="26"/>
                <w:lang w:eastAsia="en-GB"/>
              </w:rPr>
              <w:t xml:space="preserve"> </w:t>
            </w:r>
            <w:r>
              <w:rPr>
                <w:color w:val="000000"/>
                <w:sz w:val="26"/>
                <w:szCs w:val="26"/>
              </w:rPr>
              <w:t xml:space="preserve">cu </w:t>
            </w:r>
            <w:r>
              <w:rPr>
                <w:b/>
                <w:color w:val="000000"/>
                <w:sz w:val="26"/>
                <w:szCs w:val="26"/>
              </w:rPr>
              <w:t>rezultatul validării/invalidării dosarelor de recrutare</w:t>
            </w:r>
            <w:r>
              <w:rPr>
                <w:color w:val="000000"/>
                <w:sz w:val="26"/>
                <w:szCs w:val="26"/>
              </w:rPr>
              <w:t xml:space="preserve"> depuse în vederea participării la concursul organizat de I.P.J. Gorj pentru ocuparea funcției de </w:t>
            </w:r>
            <w:r>
              <w:rPr>
                <w:sz w:val="26"/>
                <w:szCs w:val="26"/>
              </w:rPr>
              <w:t>șef serviciu I, Serviciul Comunicații și Informatică</w:t>
            </w:r>
            <w:r>
              <w:rPr>
                <w:color w:val="000000"/>
                <w:sz w:val="26"/>
                <w:szCs w:val="26"/>
                <w:lang w:bidi="ro-RO"/>
              </w:rPr>
              <w:t xml:space="preserve"> din cadrul Serviciului Cabinet al Inspectoratului de Poliție Județean Gorj</w:t>
            </w:r>
            <w:r>
              <w:rPr>
                <w:sz w:val="26"/>
                <w:szCs w:val="26"/>
              </w:rPr>
              <w:t>, prevăzută la poziția 72 în statul de organizare al unităţii, cu recrutare din sursă internă, astfel</w:t>
            </w:r>
            <w:r>
              <w:rPr>
                <w:color w:val="000000"/>
                <w:sz w:val="26"/>
                <w:szCs w:val="26"/>
              </w:rPr>
              <w:t>:</w:t>
            </w:r>
          </w:p>
          <w:tbl>
            <w:tblPr>
              <w:tblW w:w="6239" w:type="dxa"/>
              <w:tblCellSpacing w:w="15" w:type="dxa"/>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002"/>
              <w:gridCol w:w="1944"/>
              <w:gridCol w:w="1584"/>
            </w:tblGrid>
            <w:tr w:rsidR="00114A20">
              <w:trPr>
                <w:tblCellSpacing w:w="15" w:type="dxa"/>
              </w:trPr>
              <w:tc>
                <w:tcPr>
                  <w:tcW w:w="66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15" w:type="dxa"/>
                    <w:right w:w="15" w:type="dxa"/>
                  </w:tcMar>
                  <w:vAlign w:val="center"/>
                  <w:hideMark/>
                </w:tcPr>
                <w:p w:rsidR="00114A20" w:rsidRDefault="00114A20">
                  <w:pPr>
                    <w:spacing w:line="276" w:lineRule="auto"/>
                    <w:jc w:val="center"/>
                    <w:rPr>
                      <w:b/>
                      <w:bCs/>
                      <w:sz w:val="26"/>
                      <w:szCs w:val="26"/>
                    </w:rPr>
                  </w:pPr>
                  <w:r>
                    <w:rPr>
                      <w:b/>
                      <w:bCs/>
                      <w:sz w:val="26"/>
                      <w:szCs w:val="26"/>
                    </w:rPr>
                    <w:t>Nr.</w:t>
                  </w:r>
                  <w:r>
                    <w:rPr>
                      <w:b/>
                      <w:bCs/>
                      <w:sz w:val="26"/>
                      <w:szCs w:val="26"/>
                    </w:rPr>
                    <w:br/>
                    <w:t>Crt.</w:t>
                  </w:r>
                </w:p>
              </w:tc>
              <w:tc>
                <w:tcPr>
                  <w:tcW w:w="1972"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15" w:type="dxa"/>
                    <w:right w:w="15" w:type="dxa"/>
                  </w:tcMar>
                  <w:vAlign w:val="center"/>
                  <w:hideMark/>
                </w:tcPr>
                <w:p w:rsidR="00114A20" w:rsidRDefault="00114A20">
                  <w:pPr>
                    <w:spacing w:line="276" w:lineRule="auto"/>
                    <w:jc w:val="center"/>
                    <w:rPr>
                      <w:b/>
                      <w:bCs/>
                      <w:sz w:val="26"/>
                      <w:szCs w:val="26"/>
                    </w:rPr>
                  </w:pPr>
                  <w:r>
                    <w:rPr>
                      <w:b/>
                      <w:bCs/>
                      <w:sz w:val="26"/>
                      <w:szCs w:val="26"/>
                    </w:rPr>
                    <w:t>COD UNIC DE IDENTIFICARE</w:t>
                  </w:r>
                </w:p>
                <w:p w:rsidR="00114A20" w:rsidRDefault="00114A20">
                  <w:pPr>
                    <w:spacing w:line="276" w:lineRule="auto"/>
                    <w:jc w:val="center"/>
                    <w:rPr>
                      <w:b/>
                      <w:bCs/>
                      <w:sz w:val="26"/>
                      <w:szCs w:val="26"/>
                    </w:rPr>
                  </w:pPr>
                  <w:r>
                    <w:rPr>
                      <w:b/>
                      <w:bCs/>
                      <w:sz w:val="26"/>
                      <w:szCs w:val="26"/>
                    </w:rPr>
                    <w:t xml:space="preserve">_CANDIDAT </w:t>
                  </w:r>
                </w:p>
              </w:tc>
              <w:tc>
                <w:tcPr>
                  <w:tcW w:w="191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15" w:type="dxa"/>
                    <w:right w:w="15" w:type="dxa"/>
                  </w:tcMar>
                  <w:hideMark/>
                </w:tcPr>
                <w:p w:rsidR="00114A20" w:rsidRDefault="00114A20">
                  <w:pPr>
                    <w:spacing w:line="276" w:lineRule="auto"/>
                    <w:jc w:val="both"/>
                    <w:rPr>
                      <w:b/>
                      <w:bCs/>
                      <w:sz w:val="26"/>
                      <w:szCs w:val="26"/>
                    </w:rPr>
                  </w:pPr>
                  <w:r>
                    <w:rPr>
                      <w:b/>
                      <w:bCs/>
                      <w:sz w:val="26"/>
                      <w:szCs w:val="26"/>
                    </w:rPr>
                    <w:t>REZULTAT EVALUARE PSIHOLOGICĂ</w:t>
                  </w:r>
                </w:p>
              </w:tc>
              <w:tc>
                <w:tcPr>
                  <w:tcW w:w="1539"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15" w:type="dxa"/>
                    <w:right w:w="15" w:type="dxa"/>
                  </w:tcMar>
                  <w:hideMark/>
                </w:tcPr>
                <w:p w:rsidR="00114A20" w:rsidRDefault="00114A20">
                  <w:pPr>
                    <w:spacing w:line="276" w:lineRule="auto"/>
                    <w:jc w:val="both"/>
                    <w:rPr>
                      <w:b/>
                      <w:bCs/>
                      <w:sz w:val="26"/>
                      <w:szCs w:val="26"/>
                    </w:rPr>
                  </w:pPr>
                  <w:r>
                    <w:rPr>
                      <w:b/>
                      <w:bCs/>
                      <w:sz w:val="26"/>
                      <w:szCs w:val="26"/>
                    </w:rPr>
                    <w:t>VALIDAT/</w:t>
                  </w:r>
                </w:p>
                <w:p w:rsidR="00114A20" w:rsidRDefault="00114A20">
                  <w:pPr>
                    <w:spacing w:line="276" w:lineRule="auto"/>
                    <w:jc w:val="both"/>
                    <w:rPr>
                      <w:b/>
                      <w:bCs/>
                      <w:sz w:val="26"/>
                      <w:szCs w:val="26"/>
                    </w:rPr>
                  </w:pPr>
                  <w:r>
                    <w:rPr>
                      <w:b/>
                      <w:bCs/>
                      <w:sz w:val="26"/>
                      <w:szCs w:val="26"/>
                    </w:rPr>
                    <w:t>INVALIDAT</w:t>
                  </w:r>
                </w:p>
              </w:tc>
            </w:tr>
            <w:tr w:rsidR="00114A20">
              <w:trPr>
                <w:tblCellSpacing w:w="15" w:type="dxa"/>
              </w:trPr>
              <w:tc>
                <w:tcPr>
                  <w:tcW w:w="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A20" w:rsidRDefault="00114A20">
                  <w:pPr>
                    <w:spacing w:line="276" w:lineRule="auto"/>
                    <w:rPr>
                      <w:rFonts w:asciiTheme="minorHAnsi" w:eastAsiaTheme="minorHAnsi" w:hAnsiTheme="minorHAnsi" w:cstheme="minorBidi"/>
                      <w:sz w:val="22"/>
                      <w:szCs w:val="22"/>
                      <w:lang w:val="en-US" w:eastAsia="en-US"/>
                    </w:rPr>
                  </w:pPr>
                </w:p>
              </w:tc>
              <w:tc>
                <w:tcPr>
                  <w:tcW w:w="1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A20" w:rsidRDefault="00114A20">
                  <w:pPr>
                    <w:spacing w:line="276" w:lineRule="auto"/>
                    <w:jc w:val="center"/>
                    <w:rPr>
                      <w:sz w:val="26"/>
                      <w:szCs w:val="26"/>
                    </w:rPr>
                  </w:pPr>
                  <w:r>
                    <w:rPr>
                      <w:sz w:val="26"/>
                      <w:szCs w:val="26"/>
                    </w:rPr>
                    <w:t>GJ-SCI-001</w:t>
                  </w:r>
                </w:p>
              </w:tc>
              <w:tc>
                <w:tcPr>
                  <w:tcW w:w="19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14A20" w:rsidRDefault="00114A20">
                  <w:pPr>
                    <w:spacing w:line="276" w:lineRule="auto"/>
                    <w:jc w:val="center"/>
                    <w:rPr>
                      <w:b/>
                      <w:sz w:val="26"/>
                      <w:szCs w:val="26"/>
                    </w:rPr>
                  </w:pPr>
                  <w:r>
                    <w:rPr>
                      <w:b/>
                      <w:sz w:val="26"/>
                      <w:szCs w:val="26"/>
                    </w:rPr>
                    <w:t>APT</w:t>
                  </w:r>
                </w:p>
              </w:tc>
              <w:tc>
                <w:tcPr>
                  <w:tcW w:w="1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14A20" w:rsidRDefault="00114A20">
                  <w:pPr>
                    <w:spacing w:line="276" w:lineRule="auto"/>
                    <w:rPr>
                      <w:b/>
                      <w:sz w:val="26"/>
                      <w:szCs w:val="26"/>
                    </w:rPr>
                  </w:pPr>
                  <w:r>
                    <w:rPr>
                      <w:b/>
                      <w:sz w:val="26"/>
                      <w:szCs w:val="26"/>
                    </w:rPr>
                    <w:t>VALIDAT</w:t>
                  </w:r>
                </w:p>
              </w:tc>
            </w:tr>
            <w:tr w:rsidR="00114A20">
              <w:trPr>
                <w:tblCellSpacing w:w="15" w:type="dxa"/>
              </w:trPr>
              <w:tc>
                <w:tcPr>
                  <w:tcW w:w="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A20" w:rsidRDefault="00114A20">
                  <w:pPr>
                    <w:spacing w:line="276" w:lineRule="auto"/>
                    <w:rPr>
                      <w:rFonts w:asciiTheme="minorHAnsi" w:eastAsiaTheme="minorHAnsi" w:hAnsiTheme="minorHAnsi" w:cstheme="minorBidi"/>
                      <w:sz w:val="22"/>
                      <w:szCs w:val="22"/>
                      <w:lang w:val="en-US" w:eastAsia="en-US"/>
                    </w:rPr>
                  </w:pPr>
                </w:p>
              </w:tc>
              <w:tc>
                <w:tcPr>
                  <w:tcW w:w="1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A20" w:rsidRDefault="00114A20">
                  <w:pPr>
                    <w:spacing w:line="276" w:lineRule="auto"/>
                    <w:jc w:val="center"/>
                    <w:rPr>
                      <w:sz w:val="26"/>
                      <w:szCs w:val="26"/>
                    </w:rPr>
                  </w:pPr>
                  <w:r>
                    <w:rPr>
                      <w:sz w:val="26"/>
                      <w:szCs w:val="26"/>
                    </w:rPr>
                    <w:t>GJ-SCI-002</w:t>
                  </w:r>
                </w:p>
              </w:tc>
              <w:tc>
                <w:tcPr>
                  <w:tcW w:w="19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14A20" w:rsidRDefault="00114A20">
                  <w:pPr>
                    <w:spacing w:line="276" w:lineRule="auto"/>
                    <w:jc w:val="center"/>
                    <w:rPr>
                      <w:b/>
                      <w:sz w:val="26"/>
                      <w:szCs w:val="26"/>
                    </w:rPr>
                  </w:pPr>
                  <w:r>
                    <w:rPr>
                      <w:b/>
                      <w:sz w:val="26"/>
                      <w:szCs w:val="26"/>
                    </w:rPr>
                    <w:t>APT</w:t>
                  </w:r>
                </w:p>
              </w:tc>
              <w:tc>
                <w:tcPr>
                  <w:tcW w:w="1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14A20" w:rsidRDefault="00114A20">
                  <w:pPr>
                    <w:spacing w:line="276" w:lineRule="auto"/>
                    <w:rPr>
                      <w:b/>
                      <w:sz w:val="26"/>
                      <w:szCs w:val="26"/>
                    </w:rPr>
                  </w:pPr>
                  <w:r>
                    <w:rPr>
                      <w:b/>
                      <w:sz w:val="26"/>
                      <w:szCs w:val="26"/>
                    </w:rPr>
                    <w:t>VALIDAT</w:t>
                  </w:r>
                </w:p>
              </w:tc>
            </w:tr>
          </w:tbl>
          <w:p w:rsidR="00114A20" w:rsidRDefault="00114A20">
            <w:pPr>
              <w:spacing w:line="276" w:lineRule="auto"/>
              <w:jc w:val="both"/>
              <w:rPr>
                <w:color w:val="000000"/>
                <w:sz w:val="26"/>
                <w:szCs w:val="26"/>
              </w:rPr>
            </w:pPr>
          </w:p>
        </w:tc>
      </w:tr>
      <w:tr w:rsidR="00114A20" w:rsidTr="00114A20">
        <w:tc>
          <w:tcPr>
            <w:tcW w:w="9923" w:type="dxa"/>
          </w:tcPr>
          <w:p w:rsidR="00114A20" w:rsidRDefault="00114A20">
            <w:pPr>
              <w:spacing w:line="276" w:lineRule="auto"/>
              <w:rPr>
                <w:b/>
                <w:sz w:val="26"/>
                <w:szCs w:val="26"/>
              </w:rPr>
            </w:pPr>
          </w:p>
        </w:tc>
      </w:tr>
    </w:tbl>
    <w:p w:rsidR="00114A20" w:rsidRDefault="00114A20" w:rsidP="00114A20">
      <w:pPr>
        <w:ind w:firstLine="708"/>
        <w:jc w:val="both"/>
        <w:rPr>
          <w:color w:val="000000"/>
          <w:sz w:val="26"/>
          <w:szCs w:val="26"/>
        </w:rPr>
      </w:pPr>
      <w:r>
        <w:rPr>
          <w:color w:val="000000"/>
          <w:sz w:val="26"/>
          <w:szCs w:val="26"/>
        </w:rPr>
        <w:t xml:space="preserve">Candidații a căror candidatură a fost validată se pot prezenta în continuare la proba de concurs, respectiv susținerea unui interviu structurat pe subiecte profesionale, care se va desfășura la sediul Inspectoratului de Poliție Județean Gorj, în data de </w:t>
      </w:r>
      <w:r>
        <w:rPr>
          <w:b/>
          <w:color w:val="000000"/>
          <w:sz w:val="26"/>
          <w:szCs w:val="26"/>
        </w:rPr>
        <w:t>21.05.2024</w:t>
      </w:r>
      <w:r>
        <w:rPr>
          <w:color w:val="000000"/>
          <w:sz w:val="26"/>
          <w:szCs w:val="26"/>
        </w:rPr>
        <w:t xml:space="preserve">, începând cu ora </w:t>
      </w:r>
      <w:r>
        <w:rPr>
          <w:b/>
          <w:color w:val="000000"/>
          <w:sz w:val="26"/>
          <w:szCs w:val="26"/>
        </w:rPr>
        <w:t>12.00</w:t>
      </w:r>
      <w:r>
        <w:rPr>
          <w:color w:val="000000"/>
          <w:sz w:val="26"/>
          <w:szCs w:val="26"/>
        </w:rPr>
        <w:t xml:space="preserve">. </w:t>
      </w:r>
    </w:p>
    <w:p w:rsidR="00114A20" w:rsidRDefault="00114A20" w:rsidP="00114A20">
      <w:pPr>
        <w:rPr>
          <w:bCs/>
          <w:color w:val="000000"/>
          <w:sz w:val="26"/>
          <w:szCs w:val="26"/>
        </w:rPr>
      </w:pPr>
    </w:p>
    <w:p w:rsidR="00014E03" w:rsidRDefault="00014E03" w:rsidP="00014E03">
      <w:pPr>
        <w:rPr>
          <w:bCs/>
          <w:color w:val="000000"/>
        </w:rPr>
      </w:pPr>
    </w:p>
    <w:p w:rsidR="00014E03" w:rsidRPr="00C57F26" w:rsidRDefault="00014E03" w:rsidP="00014E03">
      <w:pPr>
        <w:rPr>
          <w:bCs/>
          <w:color w:val="000000"/>
        </w:rPr>
      </w:pPr>
    </w:p>
    <w:p w:rsidR="002E7892" w:rsidRDefault="002E7892" w:rsidP="002E7892">
      <w:pPr>
        <w:ind w:firstLine="708"/>
        <w:jc w:val="both"/>
        <w:rPr>
          <w:color w:val="000000"/>
        </w:rPr>
      </w:pPr>
      <w:r>
        <w:rPr>
          <w:color w:val="000000"/>
        </w:rPr>
        <w:t xml:space="preserve"> </w:t>
      </w:r>
    </w:p>
    <w:p w:rsidR="00BA1F63" w:rsidRPr="001348BB" w:rsidRDefault="00BA1F63" w:rsidP="00BA1F63">
      <w:pPr>
        <w:ind w:firstLine="720"/>
        <w:jc w:val="center"/>
        <w:rPr>
          <w:color w:val="000000"/>
          <w:sz w:val="10"/>
          <w:szCs w:val="10"/>
        </w:rPr>
      </w:pPr>
    </w:p>
    <w:p w:rsidR="009F026E" w:rsidRPr="00C57F26" w:rsidRDefault="009F026E" w:rsidP="00C57F26">
      <w:pPr>
        <w:rPr>
          <w:bCs/>
          <w:color w:val="000000"/>
        </w:rPr>
      </w:pPr>
    </w:p>
    <w:tbl>
      <w:tblPr>
        <w:tblW w:w="2975" w:type="dxa"/>
        <w:jc w:val="center"/>
        <w:tblInd w:w="535" w:type="dxa"/>
        <w:tblLook w:val="01E0"/>
      </w:tblPr>
      <w:tblGrid>
        <w:gridCol w:w="2975"/>
      </w:tblGrid>
      <w:tr w:rsidR="00BA1F63" w:rsidRPr="003D363C" w:rsidTr="00114A20">
        <w:trPr>
          <w:jc w:val="center"/>
        </w:trPr>
        <w:tc>
          <w:tcPr>
            <w:tcW w:w="2975" w:type="dxa"/>
            <w:vAlign w:val="center"/>
          </w:tcPr>
          <w:p w:rsidR="00BA1F63" w:rsidRPr="003D363C" w:rsidRDefault="00BA1F63" w:rsidP="00265893">
            <w:pPr>
              <w:rPr>
                <w:b/>
                <w:color w:val="000000"/>
              </w:rPr>
            </w:pPr>
          </w:p>
        </w:tc>
      </w:tr>
    </w:tbl>
    <w:p w:rsidR="00C57F26" w:rsidRPr="00C57F26" w:rsidRDefault="00265893" w:rsidP="00C57F26">
      <w:pPr>
        <w:pStyle w:val="Header"/>
        <w:rPr>
          <w:color w:val="000000"/>
        </w:rPr>
      </w:pPr>
      <w:r w:rsidRPr="003D363C">
        <w:rPr>
          <w:b/>
          <w:color w:val="000000"/>
        </w:rPr>
        <w:tab/>
      </w:r>
      <w:r w:rsidR="00C57F26" w:rsidRPr="00C57F26">
        <w:rPr>
          <w:color w:val="000000"/>
        </w:rPr>
        <w:t xml:space="preserve"> </w:t>
      </w:r>
    </w:p>
    <w:sectPr w:rsidR="00C57F26" w:rsidRPr="00C57F26" w:rsidSect="008100C5">
      <w:footerReference w:type="default" r:id="rId7"/>
      <w:pgSz w:w="11906" w:h="16838" w:code="9"/>
      <w:pgMar w:top="426" w:right="851" w:bottom="567" w:left="1418" w:header="56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57" w:rsidRDefault="007E0657" w:rsidP="005C36CB">
      <w:r>
        <w:separator/>
      </w:r>
    </w:p>
  </w:endnote>
  <w:endnote w:type="continuationSeparator" w:id="0">
    <w:p w:rsidR="007E0657" w:rsidRDefault="007E0657" w:rsidP="005C36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C5" w:rsidRPr="005A2CE5" w:rsidRDefault="008100C5" w:rsidP="008E769F">
    <w:pPr>
      <w:ind w:right="360"/>
      <w:jc w:val="center"/>
      <w:rPr>
        <w:sz w:val="16"/>
        <w:lang w:val="it-IT"/>
      </w:rPr>
    </w:pPr>
    <w:r w:rsidRPr="005A2CE5">
      <w:rPr>
        <w:sz w:val="16"/>
        <w:lang w:val="it-IT"/>
      </w:rPr>
      <w:t>Document care conţine date cu caracter personal protejate  de  Regulamentul UE 679</w:t>
    </w:r>
    <w:r>
      <w:rPr>
        <w:sz w:val="16"/>
        <w:lang w:val="it-IT"/>
      </w:rPr>
      <w:t>/2016</w:t>
    </w:r>
    <w:r w:rsidRPr="005A2CE5">
      <w:rPr>
        <w:sz w:val="16"/>
        <w:lang w:val="it-IT"/>
      </w:rPr>
      <w:t xml:space="preserve"> privind protecția persoanelor fizice în ceea ce privește prelucrarea datelor cu caracter personal și privind libera circulație a acestor date</w:t>
    </w:r>
  </w:p>
  <w:p w:rsidR="008100C5" w:rsidRPr="005A2CE5" w:rsidRDefault="008100C5" w:rsidP="008E769F">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57" w:rsidRDefault="007E0657" w:rsidP="005C36CB">
      <w:r>
        <w:separator/>
      </w:r>
    </w:p>
  </w:footnote>
  <w:footnote w:type="continuationSeparator" w:id="0">
    <w:p w:rsidR="007E0657" w:rsidRDefault="007E0657" w:rsidP="005C3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487B"/>
    <w:multiLevelType w:val="hybridMultilevel"/>
    <w:tmpl w:val="A2422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37A90"/>
    <w:multiLevelType w:val="hybridMultilevel"/>
    <w:tmpl w:val="410A9C9E"/>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E2299"/>
    <w:multiLevelType w:val="hybridMultilevel"/>
    <w:tmpl w:val="F5B6F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F55ED"/>
    <w:rsid w:val="00001625"/>
    <w:rsid w:val="000104B4"/>
    <w:rsid w:val="00014E03"/>
    <w:rsid w:val="0001777A"/>
    <w:rsid w:val="00030764"/>
    <w:rsid w:val="0004250F"/>
    <w:rsid w:val="00047375"/>
    <w:rsid w:val="000723CE"/>
    <w:rsid w:val="00077626"/>
    <w:rsid w:val="000A4380"/>
    <w:rsid w:val="000B32C4"/>
    <w:rsid w:val="000C2FC1"/>
    <w:rsid w:val="000F7706"/>
    <w:rsid w:val="000F7B5F"/>
    <w:rsid w:val="0010645A"/>
    <w:rsid w:val="00114A20"/>
    <w:rsid w:val="00115915"/>
    <w:rsid w:val="00134FC5"/>
    <w:rsid w:val="00142243"/>
    <w:rsid w:val="00152613"/>
    <w:rsid w:val="00154615"/>
    <w:rsid w:val="00174D56"/>
    <w:rsid w:val="00190490"/>
    <w:rsid w:val="001A4109"/>
    <w:rsid w:val="001C25B9"/>
    <w:rsid w:val="0020048E"/>
    <w:rsid w:val="002036F0"/>
    <w:rsid w:val="00235690"/>
    <w:rsid w:val="002379AF"/>
    <w:rsid w:val="00245F71"/>
    <w:rsid w:val="00265893"/>
    <w:rsid w:val="00266B13"/>
    <w:rsid w:val="00292025"/>
    <w:rsid w:val="00293063"/>
    <w:rsid w:val="00293B75"/>
    <w:rsid w:val="002947D6"/>
    <w:rsid w:val="002A1877"/>
    <w:rsid w:val="002B433C"/>
    <w:rsid w:val="002C7745"/>
    <w:rsid w:val="002D1B74"/>
    <w:rsid w:val="002D2B74"/>
    <w:rsid w:val="002E5A4F"/>
    <w:rsid w:val="002E7892"/>
    <w:rsid w:val="002F484C"/>
    <w:rsid w:val="002F5D8C"/>
    <w:rsid w:val="00342E41"/>
    <w:rsid w:val="00347B14"/>
    <w:rsid w:val="00352028"/>
    <w:rsid w:val="003672C3"/>
    <w:rsid w:val="00385023"/>
    <w:rsid w:val="003904EF"/>
    <w:rsid w:val="0039433A"/>
    <w:rsid w:val="003B45D2"/>
    <w:rsid w:val="003B5B9E"/>
    <w:rsid w:val="003D363C"/>
    <w:rsid w:val="00401601"/>
    <w:rsid w:val="0040722C"/>
    <w:rsid w:val="00410973"/>
    <w:rsid w:val="00411DB5"/>
    <w:rsid w:val="00423DFD"/>
    <w:rsid w:val="004372B5"/>
    <w:rsid w:val="00453004"/>
    <w:rsid w:val="004652BE"/>
    <w:rsid w:val="00496812"/>
    <w:rsid w:val="004B5FED"/>
    <w:rsid w:val="004D243E"/>
    <w:rsid w:val="004D6C72"/>
    <w:rsid w:val="004E17A3"/>
    <w:rsid w:val="004E708D"/>
    <w:rsid w:val="004F76BD"/>
    <w:rsid w:val="005041C5"/>
    <w:rsid w:val="0050740A"/>
    <w:rsid w:val="00524831"/>
    <w:rsid w:val="00527B92"/>
    <w:rsid w:val="005357F6"/>
    <w:rsid w:val="00554170"/>
    <w:rsid w:val="00577FD4"/>
    <w:rsid w:val="00584E5A"/>
    <w:rsid w:val="005C36CB"/>
    <w:rsid w:val="00617AF1"/>
    <w:rsid w:val="00620B3E"/>
    <w:rsid w:val="006324BE"/>
    <w:rsid w:val="0065210B"/>
    <w:rsid w:val="006608D6"/>
    <w:rsid w:val="006F13FB"/>
    <w:rsid w:val="006F26B9"/>
    <w:rsid w:val="006F6012"/>
    <w:rsid w:val="00722B78"/>
    <w:rsid w:val="00750BC2"/>
    <w:rsid w:val="00771750"/>
    <w:rsid w:val="0077233D"/>
    <w:rsid w:val="00780986"/>
    <w:rsid w:val="0078164E"/>
    <w:rsid w:val="00791EFB"/>
    <w:rsid w:val="00797C9E"/>
    <w:rsid w:val="007A4FB4"/>
    <w:rsid w:val="007E0657"/>
    <w:rsid w:val="007E50B1"/>
    <w:rsid w:val="007E56CD"/>
    <w:rsid w:val="008100C5"/>
    <w:rsid w:val="00813777"/>
    <w:rsid w:val="00825366"/>
    <w:rsid w:val="0082666A"/>
    <w:rsid w:val="0083000E"/>
    <w:rsid w:val="008326C8"/>
    <w:rsid w:val="00851022"/>
    <w:rsid w:val="00860CA8"/>
    <w:rsid w:val="00867F33"/>
    <w:rsid w:val="00877A5D"/>
    <w:rsid w:val="00882DB2"/>
    <w:rsid w:val="008E769F"/>
    <w:rsid w:val="00917406"/>
    <w:rsid w:val="00935C39"/>
    <w:rsid w:val="009628EC"/>
    <w:rsid w:val="00965F99"/>
    <w:rsid w:val="009C1183"/>
    <w:rsid w:val="009D5409"/>
    <w:rsid w:val="009E02D8"/>
    <w:rsid w:val="009E2695"/>
    <w:rsid w:val="009F026E"/>
    <w:rsid w:val="00A04FB0"/>
    <w:rsid w:val="00A359EA"/>
    <w:rsid w:val="00A3691A"/>
    <w:rsid w:val="00A40CCE"/>
    <w:rsid w:val="00A84DF4"/>
    <w:rsid w:val="00AB1FDB"/>
    <w:rsid w:val="00AB5F0B"/>
    <w:rsid w:val="00AB6CE2"/>
    <w:rsid w:val="00AF0E90"/>
    <w:rsid w:val="00B019B5"/>
    <w:rsid w:val="00B37B40"/>
    <w:rsid w:val="00B42440"/>
    <w:rsid w:val="00B44297"/>
    <w:rsid w:val="00B46DD5"/>
    <w:rsid w:val="00B6245E"/>
    <w:rsid w:val="00BA1F63"/>
    <w:rsid w:val="00BC55E5"/>
    <w:rsid w:val="00C3261D"/>
    <w:rsid w:val="00C53628"/>
    <w:rsid w:val="00C57F26"/>
    <w:rsid w:val="00C718CA"/>
    <w:rsid w:val="00C74A46"/>
    <w:rsid w:val="00C9752C"/>
    <w:rsid w:val="00CB07E0"/>
    <w:rsid w:val="00CE2577"/>
    <w:rsid w:val="00CF2A67"/>
    <w:rsid w:val="00D16C6A"/>
    <w:rsid w:val="00D37DF5"/>
    <w:rsid w:val="00D475BB"/>
    <w:rsid w:val="00D514A9"/>
    <w:rsid w:val="00D62686"/>
    <w:rsid w:val="00D63022"/>
    <w:rsid w:val="00D953F7"/>
    <w:rsid w:val="00DB69C9"/>
    <w:rsid w:val="00DC496A"/>
    <w:rsid w:val="00DD33B0"/>
    <w:rsid w:val="00DD3E4D"/>
    <w:rsid w:val="00DF55ED"/>
    <w:rsid w:val="00DF795A"/>
    <w:rsid w:val="00E27438"/>
    <w:rsid w:val="00E27C04"/>
    <w:rsid w:val="00E60922"/>
    <w:rsid w:val="00E73865"/>
    <w:rsid w:val="00E74E3D"/>
    <w:rsid w:val="00E76C7B"/>
    <w:rsid w:val="00E91BD4"/>
    <w:rsid w:val="00EC56D6"/>
    <w:rsid w:val="00ED4505"/>
    <w:rsid w:val="00EE6F9E"/>
    <w:rsid w:val="00EF791B"/>
    <w:rsid w:val="00F10283"/>
    <w:rsid w:val="00F14B16"/>
    <w:rsid w:val="00F15089"/>
    <w:rsid w:val="00F80DBF"/>
    <w:rsid w:val="00F830C2"/>
    <w:rsid w:val="00FA06D2"/>
    <w:rsid w:val="00FC1253"/>
    <w:rsid w:val="00FD3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E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DF55ED"/>
    <w:pPr>
      <w:keepNext/>
      <w:ind w:left="708" w:firstLine="709"/>
      <w:jc w:val="both"/>
      <w:outlineLvl w:val="0"/>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5ED"/>
    <w:rPr>
      <w:rFonts w:ascii="Times New Roman" w:eastAsia="Arial Unicode MS" w:hAnsi="Times New Roman" w:cs="Times New Roman"/>
      <w:b/>
      <w:bCs/>
      <w:sz w:val="24"/>
      <w:szCs w:val="24"/>
      <w:lang w:val="ro-RO" w:eastAsia="ro-RO"/>
    </w:rPr>
  </w:style>
  <w:style w:type="paragraph" w:styleId="Footer">
    <w:name w:val="footer"/>
    <w:basedOn w:val="Normal"/>
    <w:link w:val="FooterChar"/>
    <w:uiPriority w:val="99"/>
    <w:rsid w:val="00DF55ED"/>
    <w:pPr>
      <w:tabs>
        <w:tab w:val="center" w:pos="4536"/>
        <w:tab w:val="right" w:pos="9072"/>
      </w:tabs>
      <w:jc w:val="center"/>
    </w:pPr>
  </w:style>
  <w:style w:type="character" w:customStyle="1" w:styleId="FooterChar">
    <w:name w:val="Footer Char"/>
    <w:basedOn w:val="DefaultParagraphFont"/>
    <w:link w:val="Footer"/>
    <w:uiPriority w:val="99"/>
    <w:rsid w:val="00DF55ED"/>
    <w:rPr>
      <w:rFonts w:ascii="Times New Roman" w:eastAsia="Times New Roman" w:hAnsi="Times New Roman" w:cs="Times New Roman"/>
      <w:sz w:val="24"/>
      <w:szCs w:val="24"/>
      <w:lang w:val="ro-RO" w:eastAsia="ro-RO"/>
    </w:rPr>
  </w:style>
  <w:style w:type="character" w:styleId="PageNumber">
    <w:name w:val="page number"/>
    <w:basedOn w:val="DefaultParagraphFont"/>
    <w:rsid w:val="00DF55ED"/>
  </w:style>
  <w:style w:type="paragraph" w:styleId="BodyText">
    <w:name w:val="Body Text"/>
    <w:basedOn w:val="Normal"/>
    <w:link w:val="BodyTextChar"/>
    <w:uiPriority w:val="99"/>
    <w:unhideWhenUsed/>
    <w:rsid w:val="00DF55ED"/>
    <w:pPr>
      <w:spacing w:after="120"/>
    </w:pPr>
  </w:style>
  <w:style w:type="character" w:customStyle="1" w:styleId="BodyTextChar">
    <w:name w:val="Body Text Char"/>
    <w:basedOn w:val="DefaultParagraphFont"/>
    <w:link w:val="BodyText"/>
    <w:uiPriority w:val="99"/>
    <w:rsid w:val="00DF55E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DF55ED"/>
    <w:rPr>
      <w:rFonts w:ascii="Tahoma" w:hAnsi="Tahoma" w:cs="Tahoma"/>
      <w:sz w:val="16"/>
      <w:szCs w:val="16"/>
    </w:rPr>
  </w:style>
  <w:style w:type="character" w:customStyle="1" w:styleId="BalloonTextChar">
    <w:name w:val="Balloon Text Char"/>
    <w:basedOn w:val="DefaultParagraphFont"/>
    <w:link w:val="BalloonText"/>
    <w:uiPriority w:val="99"/>
    <w:semiHidden/>
    <w:rsid w:val="00DF55ED"/>
    <w:rPr>
      <w:rFonts w:ascii="Tahoma" w:eastAsia="Times New Roman" w:hAnsi="Tahoma" w:cs="Tahoma"/>
      <w:sz w:val="16"/>
      <w:szCs w:val="16"/>
      <w:lang w:val="ro-RO" w:eastAsia="ro-RO"/>
    </w:rPr>
  </w:style>
  <w:style w:type="table" w:styleId="TableGrid">
    <w:name w:val="Table Grid"/>
    <w:basedOn w:val="TableNormal"/>
    <w:uiPriority w:val="59"/>
    <w:rsid w:val="00771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7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C74A46"/>
    <w:rPr>
      <w:rFonts w:ascii="Courier New" w:eastAsiaTheme="minorEastAsia" w:hAnsi="Courier New" w:cs="Courier New"/>
      <w:sz w:val="20"/>
      <w:szCs w:val="20"/>
    </w:rPr>
  </w:style>
  <w:style w:type="paragraph" w:styleId="Header">
    <w:name w:val="header"/>
    <w:basedOn w:val="Normal"/>
    <w:link w:val="HeaderChar"/>
    <w:unhideWhenUsed/>
    <w:rsid w:val="00620B3E"/>
    <w:pPr>
      <w:tabs>
        <w:tab w:val="center" w:pos="4680"/>
        <w:tab w:val="right" w:pos="9360"/>
      </w:tabs>
    </w:pPr>
  </w:style>
  <w:style w:type="character" w:customStyle="1" w:styleId="HeaderChar">
    <w:name w:val="Header Char"/>
    <w:basedOn w:val="DefaultParagraphFont"/>
    <w:link w:val="Header"/>
    <w:uiPriority w:val="99"/>
    <w:semiHidden/>
    <w:rsid w:val="00620B3E"/>
    <w:rPr>
      <w:rFonts w:ascii="Times New Roman" w:eastAsia="Times New Roman" w:hAnsi="Times New Roman" w:cs="Times New Roman"/>
      <w:sz w:val="24"/>
      <w:szCs w:val="24"/>
      <w:lang w:val="ro-RO" w:eastAsia="ro-RO"/>
    </w:rPr>
  </w:style>
  <w:style w:type="character" w:styleId="Hyperlink">
    <w:name w:val="Hyperlink"/>
    <w:rsid w:val="008E769F"/>
    <w:rPr>
      <w:color w:val="0000FF"/>
      <w:u w:val="single"/>
    </w:rPr>
  </w:style>
  <w:style w:type="paragraph" w:styleId="ListParagraph">
    <w:name w:val="List Paragraph"/>
    <w:basedOn w:val="Normal"/>
    <w:uiPriority w:val="34"/>
    <w:qFormat/>
    <w:rsid w:val="008100C5"/>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11426988">
      <w:bodyDiv w:val="1"/>
      <w:marLeft w:val="0"/>
      <w:marRight w:val="0"/>
      <w:marTop w:val="0"/>
      <w:marBottom w:val="0"/>
      <w:divBdr>
        <w:top w:val="none" w:sz="0" w:space="0" w:color="auto"/>
        <w:left w:val="none" w:sz="0" w:space="0" w:color="auto"/>
        <w:bottom w:val="none" w:sz="0" w:space="0" w:color="auto"/>
        <w:right w:val="none" w:sz="0" w:space="0" w:color="auto"/>
      </w:divBdr>
    </w:div>
    <w:div w:id="17068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179</Words>
  <Characters>1024</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stoian_aristica_gj</dc:creator>
  <cp:lastModifiedBy>honcioiu_ana_gj</cp:lastModifiedBy>
  <cp:revision>7</cp:revision>
  <cp:lastPrinted>2022-02-11T10:27:00Z</cp:lastPrinted>
  <dcterms:created xsi:type="dcterms:W3CDTF">2023-04-07T06:43:00Z</dcterms:created>
  <dcterms:modified xsi:type="dcterms:W3CDTF">2024-05-13T12:02:00Z</dcterms:modified>
</cp:coreProperties>
</file>